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3C619" w14:textId="77777777" w:rsidR="00D1760D" w:rsidRDefault="00D1760D" w:rsidP="00D1760D">
      <w:pPr>
        <w:spacing w:after="0" w:line="240" w:lineRule="auto"/>
        <w:jc w:val="center"/>
        <w:rPr>
          <w:rFonts w:ascii="Times New Roman" w:hAnsi="Times New Roman" w:cs="Times New Roman"/>
          <w:b/>
          <w:bCs/>
        </w:rPr>
      </w:pPr>
      <w:r w:rsidRPr="00D1760D">
        <w:rPr>
          <w:rFonts w:ascii="Times New Roman" w:hAnsi="Times New Roman" w:cs="Times New Roman"/>
          <w:b/>
          <w:bCs/>
        </w:rPr>
        <w:t xml:space="preserve">Implikasi Kebijakan Penataan Ruang terhadap </w:t>
      </w:r>
    </w:p>
    <w:p w14:paraId="6328DABD" w14:textId="498AD755" w:rsidR="00D1760D" w:rsidRPr="00D1760D" w:rsidRDefault="00D1760D" w:rsidP="00D1760D">
      <w:pPr>
        <w:spacing w:after="0" w:line="240" w:lineRule="auto"/>
        <w:jc w:val="center"/>
        <w:rPr>
          <w:rFonts w:ascii="Times New Roman" w:hAnsi="Times New Roman" w:cs="Times New Roman"/>
          <w:b/>
          <w:bCs/>
        </w:rPr>
      </w:pPr>
      <w:r w:rsidRPr="00D1760D">
        <w:rPr>
          <w:rFonts w:ascii="Times New Roman" w:hAnsi="Times New Roman" w:cs="Times New Roman"/>
          <w:b/>
          <w:bCs/>
        </w:rPr>
        <w:t>Resiliensi Rantai Pasok Pangan Lokal di Kota Makassar</w:t>
      </w:r>
    </w:p>
    <w:p w14:paraId="0DD43BE6" w14:textId="6CA07802" w:rsidR="0046376E" w:rsidRPr="0046376E" w:rsidRDefault="0046376E" w:rsidP="0046376E">
      <w:pPr>
        <w:spacing w:after="0" w:line="240" w:lineRule="auto"/>
        <w:jc w:val="center"/>
        <w:rPr>
          <w:rFonts w:ascii="Times New Roman" w:hAnsi="Times New Roman" w:cs="Times New Roman"/>
          <w:b/>
          <w:bCs/>
        </w:rPr>
      </w:pPr>
    </w:p>
    <w:p w14:paraId="485347A0" w14:textId="77777777" w:rsidR="0046376E" w:rsidRDefault="0046376E" w:rsidP="0046376E">
      <w:pPr>
        <w:spacing w:line="240" w:lineRule="auto"/>
        <w:jc w:val="center"/>
        <w:rPr>
          <w:rFonts w:ascii="Times New Roman" w:hAnsi="Times New Roman" w:cs="Times New Roman"/>
          <w:b/>
          <w:bCs/>
        </w:rPr>
      </w:pPr>
    </w:p>
    <w:p w14:paraId="2B5396A5" w14:textId="7757E392" w:rsidR="0046376E" w:rsidRDefault="00BF6C13" w:rsidP="0046376E">
      <w:pPr>
        <w:spacing w:line="240" w:lineRule="auto"/>
        <w:jc w:val="center"/>
        <w:rPr>
          <w:rFonts w:ascii="Times New Roman" w:hAnsi="Times New Roman" w:cs="Times New Roman"/>
          <w:b/>
          <w:bCs/>
        </w:rPr>
      </w:pPr>
      <w:r>
        <w:rPr>
          <w:rFonts w:ascii="Times New Roman" w:hAnsi="Times New Roman" w:cs="Times New Roman"/>
          <w:b/>
          <w:bCs/>
        </w:rPr>
        <w:t>Muhammad Randhy Akbar, Brahmani Hanum Meutiasari</w:t>
      </w:r>
    </w:p>
    <w:p w14:paraId="787C4A0F" w14:textId="77777777" w:rsidR="0046376E" w:rsidRPr="0046376E" w:rsidRDefault="0046376E" w:rsidP="0046376E">
      <w:pPr>
        <w:spacing w:line="240" w:lineRule="auto"/>
        <w:jc w:val="center"/>
        <w:rPr>
          <w:rFonts w:ascii="Times New Roman" w:hAnsi="Times New Roman" w:cs="Times New Roman"/>
          <w:b/>
          <w:bCs/>
        </w:rPr>
      </w:pPr>
    </w:p>
    <w:p w14:paraId="220AA93E" w14:textId="00B55A3B" w:rsidR="0046376E" w:rsidRPr="0046376E" w:rsidRDefault="0046376E" w:rsidP="0046376E">
      <w:pPr>
        <w:spacing w:line="240" w:lineRule="auto"/>
        <w:jc w:val="center"/>
        <w:rPr>
          <w:rFonts w:ascii="Times New Roman" w:hAnsi="Times New Roman" w:cs="Times New Roman"/>
          <w:b/>
          <w:bCs/>
        </w:rPr>
      </w:pPr>
      <w:r w:rsidRPr="0046376E">
        <w:rPr>
          <w:rFonts w:ascii="Times New Roman" w:hAnsi="Times New Roman" w:cs="Times New Roman"/>
          <w:b/>
          <w:bCs/>
        </w:rPr>
        <w:t>Abstrak</w:t>
      </w:r>
    </w:p>
    <w:p w14:paraId="55D57F70" w14:textId="699D4BA6" w:rsidR="00DC7551" w:rsidRPr="00DC7551" w:rsidRDefault="00DC7551" w:rsidP="00DC7551">
      <w:pPr>
        <w:spacing w:line="240" w:lineRule="auto"/>
        <w:jc w:val="both"/>
        <w:rPr>
          <w:rFonts w:ascii="Times New Roman" w:hAnsi="Times New Roman" w:cs="Times New Roman"/>
        </w:rPr>
      </w:pPr>
      <w:r w:rsidRPr="00DC7551">
        <w:rPr>
          <w:rFonts w:ascii="Times New Roman" w:hAnsi="Times New Roman" w:cs="Times New Roman"/>
        </w:rPr>
        <w:t xml:space="preserve">Keberadaan pasar lokal tidak bisa dilepaskan dari stabilitas rantai pasok pangan di kota-kota besar. Di Makassar, dua pasar menonjol dalam peran ini: Pasar Terong yang sejak lama dikenal sebagai acuan harga pangan di kawasan regional, dan Pasar Kalimbu yang menggerakkan roda ekonomi sejak dini hari. Keduanya menjadi simpul penting distribusi pangan bagi warga kota. Sayangnya, kelangsungan para pedagang di dua pasar ini kini dibayangi oleh berbagai kebijakan penataan ruang dan administrasi kota. Praktik-praktik seperti </w:t>
      </w:r>
      <w:r w:rsidR="00142450">
        <w:rPr>
          <w:rFonts w:ascii="Times New Roman" w:hAnsi="Times New Roman" w:cs="Times New Roman"/>
        </w:rPr>
        <w:t>penggusuran berbalut penata</w:t>
      </w:r>
      <w:r w:rsidR="00D005E9">
        <w:rPr>
          <w:rFonts w:ascii="Times New Roman" w:hAnsi="Times New Roman" w:cs="Times New Roman"/>
        </w:rPr>
        <w:t>an</w:t>
      </w:r>
      <w:r w:rsidRPr="00DC7551">
        <w:rPr>
          <w:rFonts w:ascii="Times New Roman" w:hAnsi="Times New Roman" w:cs="Times New Roman"/>
        </w:rPr>
        <w:t xml:space="preserve"> maupun perombakan fisik pasar yang dijalankan secara </w:t>
      </w:r>
      <w:r w:rsidRPr="00142450">
        <w:rPr>
          <w:rFonts w:ascii="Times New Roman" w:hAnsi="Times New Roman" w:cs="Times New Roman"/>
          <w:i/>
          <w:iCs/>
        </w:rPr>
        <w:t>top-down</w:t>
      </w:r>
      <w:r w:rsidRPr="00DC7551">
        <w:rPr>
          <w:rFonts w:ascii="Times New Roman" w:hAnsi="Times New Roman" w:cs="Times New Roman"/>
        </w:rPr>
        <w:t xml:space="preserve"> justru menciptakan bentuk kerentanan baru bagi ruang hidup para pedagang.</w:t>
      </w:r>
    </w:p>
    <w:p w14:paraId="7A86DBED" w14:textId="1EF32CE7" w:rsidR="00DC7551" w:rsidRPr="00DC7551" w:rsidRDefault="00DC7551" w:rsidP="00DC7551">
      <w:pPr>
        <w:spacing w:line="240" w:lineRule="auto"/>
        <w:jc w:val="both"/>
        <w:rPr>
          <w:rFonts w:ascii="Times New Roman" w:hAnsi="Times New Roman" w:cs="Times New Roman"/>
        </w:rPr>
      </w:pPr>
      <w:r w:rsidRPr="00DC7551">
        <w:rPr>
          <w:rFonts w:ascii="Times New Roman" w:hAnsi="Times New Roman" w:cs="Times New Roman"/>
        </w:rPr>
        <w:t>Selama ini, penelitian tentang ketahanan pangan cenderung berkutat pada pendekatan logistik yang positivistik atau berfokus pada wilayah produksi di hulu, sementara isu keadilan spasial dan kerentanan pelaku informal di sisi hilir rantai pasok kurang mendapat perhatian. Berangkat dari kesenjangan tersebut, artikel ini memanfaatkan kerangka Keadilan Spasial (</w:t>
      </w:r>
      <w:r w:rsidRPr="00D005E9">
        <w:rPr>
          <w:rFonts w:ascii="Times New Roman" w:hAnsi="Times New Roman" w:cs="Times New Roman"/>
          <w:i/>
          <w:iCs/>
        </w:rPr>
        <w:t>Spatial Justice</w:t>
      </w:r>
      <w:r w:rsidRPr="00DC7551">
        <w:rPr>
          <w:rFonts w:ascii="Times New Roman" w:hAnsi="Times New Roman" w:cs="Times New Roman"/>
        </w:rPr>
        <w:t>) dan Resiliensi Pangan (</w:t>
      </w:r>
      <w:r w:rsidRPr="00D005E9">
        <w:rPr>
          <w:rFonts w:ascii="Times New Roman" w:hAnsi="Times New Roman" w:cs="Times New Roman"/>
          <w:i/>
          <w:iCs/>
        </w:rPr>
        <w:t>Food Resilience</w:t>
      </w:r>
      <w:r w:rsidRPr="00DC7551">
        <w:rPr>
          <w:rFonts w:ascii="Times New Roman" w:hAnsi="Times New Roman" w:cs="Times New Roman"/>
        </w:rPr>
        <w:t>) untuk membedah bagaimana kebijakan penataan ruang berdampak langsung pada daya tahan rantai pasok pangan lokal. Melalui metode kualitatif dengan studi kasus di Pasar Terong dan Pasar Kalimbu, penelitian ini menyoroti pertentangan antara agenda modernisasi ruang kota dengan upaya bertahan jaringan pangan</w:t>
      </w:r>
      <w:r w:rsidR="00026E95">
        <w:rPr>
          <w:rFonts w:ascii="Times New Roman" w:hAnsi="Times New Roman" w:cs="Times New Roman"/>
        </w:rPr>
        <w:t xml:space="preserve"> masyarakat kota</w:t>
      </w:r>
      <w:r w:rsidRPr="00DC7551">
        <w:rPr>
          <w:rFonts w:ascii="Times New Roman" w:hAnsi="Times New Roman" w:cs="Times New Roman"/>
        </w:rPr>
        <w:t>.</w:t>
      </w:r>
    </w:p>
    <w:p w14:paraId="22B0170C" w14:textId="77777777" w:rsidR="00DC7551" w:rsidRPr="00DC7551" w:rsidRDefault="00DC7551" w:rsidP="00DC7551">
      <w:pPr>
        <w:spacing w:line="240" w:lineRule="auto"/>
        <w:jc w:val="both"/>
        <w:rPr>
          <w:rFonts w:ascii="Times New Roman" w:hAnsi="Times New Roman" w:cs="Times New Roman"/>
        </w:rPr>
      </w:pPr>
      <w:r w:rsidRPr="00DC7551">
        <w:rPr>
          <w:rFonts w:ascii="Times New Roman" w:hAnsi="Times New Roman" w:cs="Times New Roman"/>
        </w:rPr>
        <w:t>Hasil kajian memperlihatkan bahwa penataan ruang yang bersifat eksklusif berpotensi mengganggu alur distribusi dalam rantai pasok sekaligus melemahkan ketangguhan ekonomi komunitas pedagang secara sistematis. Oleh karena itu, kajian ini menegaskan pentingnya perubahan arah kebijakan menuju tata kelola spasial yang lebih inklusif, sebagai upaya menjaga keberlanjutan sistem pangan kota sekaligus melindungi hak atas ruang bagi para pelaku pasar lokal.</w:t>
      </w:r>
    </w:p>
    <w:p w14:paraId="5870FC41" w14:textId="77777777" w:rsidR="00DC7551" w:rsidRPr="00DC7551" w:rsidRDefault="00DC7551" w:rsidP="00DC7551">
      <w:pPr>
        <w:spacing w:line="240" w:lineRule="auto"/>
        <w:jc w:val="both"/>
        <w:rPr>
          <w:rFonts w:ascii="Times New Roman" w:hAnsi="Times New Roman" w:cs="Times New Roman"/>
        </w:rPr>
      </w:pPr>
      <w:r w:rsidRPr="00AE0460">
        <w:rPr>
          <w:rFonts w:ascii="Times New Roman" w:hAnsi="Times New Roman" w:cs="Times New Roman"/>
          <w:b/>
          <w:bCs/>
        </w:rPr>
        <w:t>Kata Kunci:</w:t>
      </w:r>
      <w:r w:rsidRPr="00DC7551">
        <w:rPr>
          <w:rFonts w:ascii="Times New Roman" w:hAnsi="Times New Roman" w:cs="Times New Roman"/>
        </w:rPr>
        <w:t xml:space="preserve"> Keadilan Spasial, Penataan Ruang, Resiliensi Pangan, Ekonomi Komunitas, Pasar Lokal.</w:t>
      </w:r>
    </w:p>
    <w:p w14:paraId="4C510D2D" w14:textId="28D238E9" w:rsidR="0046376E" w:rsidRPr="00AD0444" w:rsidRDefault="0046376E" w:rsidP="00AD0444">
      <w:pPr>
        <w:spacing w:line="240" w:lineRule="auto"/>
        <w:jc w:val="both"/>
        <w:rPr>
          <w:rFonts w:ascii="Times New Roman" w:hAnsi="Times New Roman" w:cs="Times New Roman"/>
        </w:rPr>
      </w:pPr>
    </w:p>
    <w:sectPr w:rsidR="0046376E" w:rsidRPr="00AD04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21E"/>
    <w:rsid w:val="00026E95"/>
    <w:rsid w:val="000A6408"/>
    <w:rsid w:val="000E3020"/>
    <w:rsid w:val="00142450"/>
    <w:rsid w:val="00155CDD"/>
    <w:rsid w:val="002A707A"/>
    <w:rsid w:val="003C46B8"/>
    <w:rsid w:val="0046376E"/>
    <w:rsid w:val="004E3545"/>
    <w:rsid w:val="006D14B0"/>
    <w:rsid w:val="00723895"/>
    <w:rsid w:val="0085621E"/>
    <w:rsid w:val="009625F9"/>
    <w:rsid w:val="00975B89"/>
    <w:rsid w:val="00992E26"/>
    <w:rsid w:val="009A6BB8"/>
    <w:rsid w:val="00A43264"/>
    <w:rsid w:val="00AD0444"/>
    <w:rsid w:val="00AE0460"/>
    <w:rsid w:val="00BF6C13"/>
    <w:rsid w:val="00C26DD7"/>
    <w:rsid w:val="00C72F89"/>
    <w:rsid w:val="00CD4B1A"/>
    <w:rsid w:val="00D005E9"/>
    <w:rsid w:val="00D1760D"/>
    <w:rsid w:val="00D92681"/>
    <w:rsid w:val="00DC7551"/>
    <w:rsid w:val="00DE05E4"/>
    <w:rsid w:val="00E36F1A"/>
    <w:rsid w:val="00E530A2"/>
    <w:rsid w:val="00EE3841"/>
    <w:rsid w:val="00F46605"/>
    <w:rsid w:val="00FF7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3862C"/>
  <w15:chartTrackingRefBased/>
  <w15:docId w15:val="{17A5C100-B178-448E-BF05-1C0A203F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62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62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62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62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62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62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62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62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62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2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62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562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62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562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562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62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62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621E"/>
    <w:rPr>
      <w:rFonts w:eastAsiaTheme="majorEastAsia" w:cstheme="majorBidi"/>
      <w:color w:val="272727" w:themeColor="text1" w:themeTint="D8"/>
    </w:rPr>
  </w:style>
  <w:style w:type="paragraph" w:styleId="Title">
    <w:name w:val="Title"/>
    <w:basedOn w:val="Normal"/>
    <w:next w:val="Normal"/>
    <w:link w:val="TitleChar"/>
    <w:uiPriority w:val="10"/>
    <w:qFormat/>
    <w:rsid w:val="008562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62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62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62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621E"/>
    <w:pPr>
      <w:spacing w:before="160"/>
      <w:jc w:val="center"/>
    </w:pPr>
    <w:rPr>
      <w:i/>
      <w:iCs/>
      <w:color w:val="404040" w:themeColor="text1" w:themeTint="BF"/>
    </w:rPr>
  </w:style>
  <w:style w:type="character" w:customStyle="1" w:styleId="QuoteChar">
    <w:name w:val="Quote Char"/>
    <w:basedOn w:val="DefaultParagraphFont"/>
    <w:link w:val="Quote"/>
    <w:uiPriority w:val="29"/>
    <w:rsid w:val="0085621E"/>
    <w:rPr>
      <w:i/>
      <w:iCs/>
      <w:color w:val="404040" w:themeColor="text1" w:themeTint="BF"/>
    </w:rPr>
  </w:style>
  <w:style w:type="paragraph" w:styleId="ListParagraph">
    <w:name w:val="List Paragraph"/>
    <w:basedOn w:val="Normal"/>
    <w:uiPriority w:val="34"/>
    <w:qFormat/>
    <w:rsid w:val="0085621E"/>
    <w:pPr>
      <w:ind w:left="720"/>
      <w:contextualSpacing/>
    </w:pPr>
  </w:style>
  <w:style w:type="character" w:styleId="IntenseEmphasis">
    <w:name w:val="Intense Emphasis"/>
    <w:basedOn w:val="DefaultParagraphFont"/>
    <w:uiPriority w:val="21"/>
    <w:qFormat/>
    <w:rsid w:val="0085621E"/>
    <w:rPr>
      <w:i/>
      <w:iCs/>
      <w:color w:val="2F5496" w:themeColor="accent1" w:themeShade="BF"/>
    </w:rPr>
  </w:style>
  <w:style w:type="paragraph" w:styleId="IntenseQuote">
    <w:name w:val="Intense Quote"/>
    <w:basedOn w:val="Normal"/>
    <w:next w:val="Normal"/>
    <w:link w:val="IntenseQuoteChar"/>
    <w:uiPriority w:val="30"/>
    <w:qFormat/>
    <w:rsid w:val="008562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621E"/>
    <w:rPr>
      <w:i/>
      <w:iCs/>
      <w:color w:val="2F5496" w:themeColor="accent1" w:themeShade="BF"/>
    </w:rPr>
  </w:style>
  <w:style w:type="character" w:styleId="IntenseReference">
    <w:name w:val="Intense Reference"/>
    <w:basedOn w:val="DefaultParagraphFont"/>
    <w:uiPriority w:val="32"/>
    <w:qFormat/>
    <w:rsid w:val="0085621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Balai Pengelola Kereta Api Sul Sel 2</dc:creator>
  <cp:keywords/>
  <dc:description/>
  <cp:lastModifiedBy>Balai Pengelola Kereta Api Sul Sel 2</cp:lastModifiedBy>
  <cp:revision>13</cp:revision>
  <dcterms:created xsi:type="dcterms:W3CDTF">2026-08-21T13:40:00Z</dcterms:created>
  <dcterms:modified xsi:type="dcterms:W3CDTF">2026-08-21T13:50:00Z</dcterms:modified>
</cp:coreProperties>
</file>