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5C17B">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b/>
          <w:bCs/>
          <w:color w:val="000000"/>
          <w:kern w:val="0"/>
          <w:sz w:val="22"/>
          <w:szCs w:val="22"/>
          <w:lang w:val="id-ID" w:eastAsia="id-ID" w:bidi="ar"/>
        </w:rPr>
        <w:t>Dekolonisasi Lidah di Ruang Domestik: Olahan Jagung sebagai Strategi Ketahanan Pangan Lokal di Kajang, Sulawesi Selatan</w:t>
      </w:r>
    </w:p>
    <w:p w14:paraId="2DF7EB10">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color w:val="000000"/>
          <w:kern w:val="0"/>
          <w:sz w:val="22"/>
          <w:szCs w:val="22"/>
          <w:lang w:val="id-ID" w:eastAsia="id-ID" w:bidi="ar"/>
        </w:rPr>
        <w:t> </w:t>
      </w:r>
    </w:p>
    <w:p w14:paraId="44E6A36E">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b/>
          <w:bCs/>
          <w:i/>
          <w:iCs/>
          <w:color w:val="000000"/>
          <w:kern w:val="0"/>
          <w:sz w:val="22"/>
          <w:szCs w:val="22"/>
          <w:lang w:val="id-ID" w:eastAsia="id-ID" w:bidi="ar"/>
        </w:rPr>
        <w:t>Zulfikarni Bakri</w:t>
      </w:r>
    </w:p>
    <w:p w14:paraId="45487038">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i/>
          <w:iCs/>
          <w:color w:val="000000"/>
          <w:kern w:val="0"/>
          <w:sz w:val="22"/>
          <w:szCs w:val="22"/>
          <w:lang w:val="id-ID" w:eastAsia="id-ID" w:bidi="ar"/>
        </w:rPr>
        <w:t>(Icir Rumah Bersama)</w:t>
      </w:r>
      <w:r>
        <w:rPr>
          <w:rFonts w:hint="default" w:ascii="Times New Roman" w:hAnsi="Times New Roman" w:eastAsia="Times New Roman" w:cs="Times New Roman"/>
          <w:i/>
          <w:iCs/>
          <w:color w:val="000000"/>
          <w:kern w:val="0"/>
          <w:sz w:val="22"/>
          <w:szCs w:val="22"/>
          <w:lang w:val="id-ID" w:eastAsia="id-ID" w:bidi="ar"/>
        </w:rPr>
        <w:br w:type="textWrapping"/>
      </w:r>
      <w:r>
        <w:rPr>
          <w:rFonts w:hint="default" w:ascii="Times New Roman" w:hAnsi="Times New Roman" w:eastAsia="Times New Roman" w:cs="Times New Roman"/>
          <w:color w:val="000000"/>
          <w:kern w:val="0"/>
          <w:sz w:val="22"/>
          <w:szCs w:val="22"/>
          <w:lang w:val="id-ID" w:eastAsia="id-ID" w:bidi="ar"/>
        </w:rPr>
        <w:t xml:space="preserve"> </w:t>
      </w:r>
      <w:r>
        <w:rPr>
          <w:rFonts w:hint="default" w:ascii="Times New Roman" w:hAnsi="Times New Roman" w:eastAsia="Times New Roman" w:cs="Times New Roman"/>
          <w:i/>
          <w:iCs/>
          <w:color w:val="000000"/>
          <w:kern w:val="0"/>
          <w:sz w:val="22"/>
          <w:szCs w:val="22"/>
          <w:lang w:val="id-ID" w:eastAsia="id-ID" w:bidi="ar"/>
        </w:rPr>
        <w:t>zulfikarnibakri@mail.ugm.ac.id</w:t>
      </w:r>
    </w:p>
    <w:p w14:paraId="54628F77">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b/>
          <w:bCs/>
          <w:i/>
          <w:iCs/>
          <w:color w:val="000000"/>
          <w:kern w:val="0"/>
          <w:sz w:val="22"/>
          <w:szCs w:val="22"/>
          <w:lang w:val="id-ID" w:eastAsia="id-ID" w:bidi="ar"/>
        </w:rPr>
        <w:t>Muhammad Takbir</w:t>
      </w:r>
    </w:p>
    <w:p w14:paraId="2121C35A">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i/>
          <w:iCs/>
          <w:color w:val="000000"/>
          <w:kern w:val="0"/>
          <w:sz w:val="22"/>
          <w:szCs w:val="22"/>
          <w:lang w:val="id-ID" w:eastAsia="id-ID" w:bidi="ar"/>
        </w:rPr>
        <w:t>(UIN Alauddin Makassar)</w:t>
      </w:r>
    </w:p>
    <w:p w14:paraId="64F9E62D">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i/>
          <w:iCs/>
          <w:color w:val="000000"/>
          <w:kern w:val="0"/>
          <w:sz w:val="22"/>
          <w:szCs w:val="22"/>
          <w:lang w:val="id-ID" w:eastAsia="id-ID" w:bidi="ar"/>
        </w:rPr>
        <w:t>muhammad.takbir@uin-alauddin.ac.id</w:t>
      </w:r>
    </w:p>
    <w:p w14:paraId="3418B8B1">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color w:val="000000"/>
          <w:kern w:val="0"/>
          <w:sz w:val="22"/>
          <w:szCs w:val="22"/>
          <w:lang w:val="id-ID" w:eastAsia="id-ID" w:bidi="ar"/>
        </w:rPr>
        <w:t> </w:t>
      </w:r>
    </w:p>
    <w:p w14:paraId="0AC8AE13">
      <w:pPr>
        <w:keepNext w:val="0"/>
        <w:keepLines w:val="0"/>
        <w:widowControl/>
        <w:suppressLineNumbers w:val="0"/>
        <w:spacing w:before="0" w:beforeAutospacing="0" w:after="0" w:afterAutospacing="0"/>
        <w:ind w:left="0" w:right="0"/>
        <w:jc w:val="center"/>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b/>
          <w:bCs/>
          <w:color w:val="000000"/>
          <w:kern w:val="0"/>
          <w:sz w:val="22"/>
          <w:szCs w:val="22"/>
          <w:lang w:val="id-ID" w:eastAsia="id-ID" w:bidi="ar"/>
        </w:rPr>
        <w:t>Abstrak</w:t>
      </w:r>
    </w:p>
    <w:p w14:paraId="277EE007">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color w:val="000000"/>
          <w:kern w:val="0"/>
          <w:sz w:val="22"/>
          <w:szCs w:val="22"/>
          <w:lang w:val="id-ID" w:eastAsia="id-ID" w:bidi="ar"/>
        </w:rPr>
        <w:t xml:space="preserve">Hegemoni beras dalam politik pangan di Indonesia telah menciptakan ketimpangan status sosial, ekonomi, dan budaya yang meminggirkan keberadaan pangan pokok selainnya, jagung. Selain itu, krisis iklim dua tahun terakhir ini menyebabkan gagal panen semakin melemahkan ketahanan pangan dan juga pendapatan petani di Sulawesi selatan. Penelitian ini menggunakan metode kualitatif dengan pendekatan deskriptif untuk menguraikan dua arus tekanan tersebut bagaimana praktik pengolahan jagung di ruang domestik oleh perempuan Kajang sebagai bentuk </w:t>
      </w:r>
      <w:r>
        <w:rPr>
          <w:rFonts w:hint="default" w:ascii="Times New Roman" w:hAnsi="Times New Roman" w:eastAsia="Times New Roman" w:cs="Times New Roman"/>
          <w:i/>
          <w:iCs/>
          <w:color w:val="000000"/>
          <w:kern w:val="0"/>
          <w:sz w:val="22"/>
          <w:szCs w:val="22"/>
          <w:lang w:val="id-ID" w:eastAsia="id-ID" w:bidi="ar"/>
        </w:rPr>
        <w:t>delinking</w:t>
      </w:r>
      <w:r>
        <w:rPr>
          <w:rFonts w:hint="default" w:ascii="Times New Roman" w:hAnsi="Times New Roman" w:eastAsia="Times New Roman" w:cs="Times New Roman"/>
          <w:color w:val="000000"/>
          <w:kern w:val="0"/>
          <w:sz w:val="22"/>
          <w:szCs w:val="22"/>
          <w:lang w:val="id-ID" w:eastAsia="id-ID" w:bidi="ar"/>
        </w:rPr>
        <w:t xml:space="preserve"> berdasarkan pemikiran Walter Mignolo. Peneliti menggunakan konsep ini untuk pelepasan diri dari dari doktrin kolonialisasi pengetahuan dan selera masyarakat adat tanpa mengikuti standar pangan yang d</w:t>
      </w:r>
      <w:bookmarkStart w:id="0" w:name="_GoBack"/>
      <w:bookmarkEnd w:id="0"/>
      <w:r>
        <w:rPr>
          <w:rFonts w:hint="default" w:ascii="Times New Roman" w:hAnsi="Times New Roman" w:eastAsia="Times New Roman" w:cs="Times New Roman"/>
          <w:color w:val="000000"/>
          <w:kern w:val="0"/>
          <w:sz w:val="22"/>
          <w:szCs w:val="22"/>
          <w:lang w:val="id-ID" w:eastAsia="id-ID" w:bidi="ar"/>
        </w:rPr>
        <w:t xml:space="preserve">ominan. Pengumpulan data menggunakan observasi partisipatif dan wawancara mendalam bersama 10 perempuan di desa Tana Toa – salah satu sentra penghasil jagung di Bulukumba dan eksisnya kelompok adat Ammatoa yang masih mempertahankan praktik ketahanan pangan secara tradisional. Penelitian ini mengungkapkan bahwa secara terus menerus perempuan Kajang tetap mempertahankan sistem </w:t>
      </w:r>
      <w:r>
        <w:rPr>
          <w:rFonts w:hint="default" w:ascii="Times New Roman" w:hAnsi="Times New Roman" w:eastAsia="Times New Roman" w:cs="Times New Roman"/>
          <w:i/>
          <w:iCs/>
          <w:color w:val="000000"/>
          <w:kern w:val="0"/>
          <w:sz w:val="22"/>
          <w:szCs w:val="22"/>
          <w:lang w:val="id-ID" w:eastAsia="id-ID" w:bidi="ar"/>
        </w:rPr>
        <w:t xml:space="preserve">parabola </w:t>
      </w:r>
      <w:r>
        <w:rPr>
          <w:rFonts w:hint="default" w:ascii="Times New Roman" w:hAnsi="Times New Roman" w:eastAsia="Times New Roman" w:cs="Times New Roman"/>
          <w:color w:val="000000"/>
          <w:kern w:val="0"/>
          <w:sz w:val="22"/>
          <w:szCs w:val="22"/>
          <w:lang w:val="id-ID" w:eastAsia="id-ID" w:bidi="ar"/>
        </w:rPr>
        <w:t xml:space="preserve">(loteng) yang dijadikan sebagai sistem penyimpanan pangan pokok, pengolahan makanan berbahan dasar jagung yang dikonsumsi sehari-hari dan juga disediakan dalam ritual, serta sistem pewarisan pengetahuan pangan lokal tersebut yang diwariskan melalui tradisi oral. Ruang domestik dijaga keberlangsungannya, sekaligus tempat perempuan Kajang secara konsisten menegaskan nilai jagung sebagai pangan yang setara tanpa mereduksi beras. Penelitian ini diharapkan dapat mempertahankan olahan jagung bukan sekadar kebiasaan atau nostalgia kultural, melainkan strategi ketahanan pangan lokal yang secara bersamaan berfungsi sebagai bentuk </w:t>
      </w:r>
      <w:r>
        <w:rPr>
          <w:rFonts w:hint="default" w:ascii="Times New Roman" w:hAnsi="Times New Roman" w:eastAsia="Times New Roman" w:cs="Times New Roman"/>
          <w:i/>
          <w:iCs/>
          <w:color w:val="000000"/>
          <w:kern w:val="0"/>
          <w:sz w:val="22"/>
          <w:szCs w:val="22"/>
          <w:lang w:val="id-ID" w:eastAsia="id-ID" w:bidi="ar"/>
        </w:rPr>
        <w:t>delinking</w:t>
      </w:r>
      <w:r>
        <w:rPr>
          <w:rFonts w:hint="default" w:ascii="Times New Roman" w:hAnsi="Times New Roman" w:eastAsia="Times New Roman" w:cs="Times New Roman"/>
          <w:color w:val="000000"/>
          <w:kern w:val="0"/>
          <w:sz w:val="22"/>
          <w:szCs w:val="22"/>
          <w:lang w:val="id-ID" w:eastAsia="id-ID" w:bidi="ar"/>
        </w:rPr>
        <w:t xml:space="preserve"> dari dominasi struktural sistem pangan nasional maupun dari kerentanan yang ditimbulkan krisis iklim.</w:t>
      </w:r>
    </w:p>
    <w:p w14:paraId="26CC699C">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color w:val="000000"/>
          <w:kern w:val="0"/>
          <w:sz w:val="22"/>
          <w:szCs w:val="22"/>
          <w:lang w:val="id-ID" w:eastAsia="id-ID" w:bidi="ar"/>
        </w:rPr>
        <w:t> </w:t>
      </w:r>
    </w:p>
    <w:p w14:paraId="6F920DAC">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kern w:val="0"/>
          <w:lang w:val="id-ID" w:eastAsia="id-ID"/>
        </w:rPr>
      </w:pPr>
      <w:r>
        <w:rPr>
          <w:rFonts w:hint="default" w:ascii="Times New Roman" w:hAnsi="Times New Roman" w:eastAsia="Times New Roman" w:cs="Times New Roman"/>
          <w:i/>
          <w:iCs/>
          <w:color w:val="000000"/>
          <w:kern w:val="0"/>
          <w:sz w:val="22"/>
          <w:szCs w:val="22"/>
          <w:lang w:val="id-ID" w:eastAsia="id-ID" w:bidi="ar"/>
        </w:rPr>
        <w:t>Kata kunci</w:t>
      </w:r>
      <w:r>
        <w:rPr>
          <w:rFonts w:hint="default" w:ascii="Times New Roman" w:hAnsi="Times New Roman" w:eastAsia="Times New Roman" w:cs="Times New Roman"/>
          <w:color w:val="000000"/>
          <w:kern w:val="0"/>
          <w:sz w:val="22"/>
          <w:szCs w:val="22"/>
          <w:lang w:val="id-ID" w:eastAsia="id-ID" w:bidi="ar"/>
        </w:rPr>
        <w:t xml:space="preserve">: </w:t>
      </w:r>
      <w:r>
        <w:rPr>
          <w:rFonts w:hint="default" w:ascii="Times New Roman" w:hAnsi="Times New Roman" w:eastAsia="Times New Roman" w:cs="Times New Roman"/>
          <w:i/>
          <w:iCs/>
          <w:color w:val="000000"/>
          <w:kern w:val="0"/>
          <w:sz w:val="22"/>
          <w:szCs w:val="22"/>
          <w:lang w:val="id-ID" w:eastAsia="id-ID" w:bidi="ar"/>
        </w:rPr>
        <w:t>Delinking, Ruang domestik, Ketahanan pangan</w:t>
      </w:r>
    </w:p>
    <w:p w14:paraId="1E5A0E71">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lang w:val="id-ID" w:eastAsia="id-ID"/>
        </w:rPr>
      </w:pPr>
    </w:p>
    <w:p w14:paraId="5F1FF420">
      <w:pPr>
        <w:keepNext w:val="0"/>
        <w:keepLines w:val="0"/>
        <w:widowControl/>
        <w:suppressLineNumbers w:val="0"/>
        <w:spacing w:before="0" w:beforeAutospacing="0" w:after="0" w:afterAutospacing="0"/>
        <w:ind w:left="0" w:right="0"/>
        <w:jc w:val="left"/>
        <w:rPr>
          <w:lang w:val="id-ID"/>
        </w:rPr>
      </w:pPr>
    </w:p>
    <w:p w14:paraId="57793FD8"/>
    <w:sectPr>
      <w:pgSz w:w="11906" w:h="16838"/>
      <w:pgMar w:top="1440" w:right="1440" w:bottom="1440" w:left="1440" w:header="708" w:footer="708" w:gutter="0"/>
      <w:paperSrc/>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Cambria Math">
    <w:altName w:val="Kingsoft Math"/>
    <w:panose1 w:val="02040503050406030204"/>
    <w:charset w:val="00"/>
    <w:family w:val="auto"/>
    <w:pitch w:val="variable"/>
    <w:sig w:usb0="E00002FF" w:usb1="420024FF" w:usb2="00000000" w:usb3="00000000" w:csb0="0000019F" w:csb1="00000000"/>
  </w:font>
  <w:font w:name="Calibri">
    <w:altName w:val="Helvetica Neue"/>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0"/>
  <w:bordersDoNotSurroundFooter w:val="0"/>
  <w:documentProtection w:enforcement="0"/>
  <w:defaultTabStop w:val="720"/>
  <w:drawingGridVerticalSpacing w:val="156"/>
  <w:displayHorizontalDrawingGridEvery w:val="1"/>
  <w:displayVerticalDrawingGridEvery w:val="1"/>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FDD4EF"/>
    <w:rsid w:val="FAFDD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customStyle="1" w:styleId="4">
    <w:name w:val="Tabel Normal"/>
    <w:semiHidden/>
    <w:uiPriority w:val="0"/>
    <w:pPr>
      <w:keepNext w:val="0"/>
      <w:keepLines w:val="0"/>
      <w:widowControl/>
      <w:suppressLineNumbers w:val="0"/>
      <w:spacing w:before="0" w:beforeAutospacing="0" w:after="0" w:afterAutospacing="0"/>
      <w:ind w:left="0" w:right="0"/>
    </w:pPr>
    <w:rPr>
      <w:rFonts w:hint="eastAsia" w:ascii="Calibri" w:hAnsi="Calibri" w:cs="Times New Roman"/>
      <w:kern w:val="2"/>
      <w:sz w:val="24"/>
      <w:szCs w:val="24"/>
      <w:lang w:eastAsia="en-US"/>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Office_12.1.26050.26050_F1E327BC-269C-435d-A152-05C5408002CA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2026-08-13T20:07:00Z</dcterms:created>
  <dc:creator>zulfikarni bakri</dc:creator>
  <cp:lastModifiedBy>zulfikarni bakri</cp:lastModifiedBy>
  <dcterms:modified xsi:type="dcterms:W3CDTF">2026-08-13T20:08:24Z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1033-12.1.26050.26050</vt:lpwstr>
  </property>
  <property fmtid="{D5CDD505-2E9C-101B-9397-08002B2CF9AE}" pid="3" name="ICV">
    <vt:lpwstr>60CCF7801A30D4EA88B37D6A9B9CD05F_41</vt:lpwstr>
  </property>
</Properties>
</file>