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92CD4">
      <w:pPr>
        <w:spacing w:after="120"/>
        <w:jc w:val="center"/>
        <w:rPr>
          <w:rFonts w:ascii="Times New Roman" w:hAnsi="Times New Roman" w:eastAsia="Times New Roman" w:cs="Times New Roman"/>
          <w:b/>
          <w:bCs/>
          <w:color w:val="auto"/>
          <w:sz w:val="30"/>
          <w:szCs w:val="30"/>
        </w:rPr>
      </w:pPr>
      <w:r>
        <w:rPr>
          <w:rFonts w:ascii="Times New Roman" w:hAnsi="Times New Roman" w:eastAsia="Times New Roman" w:cs="Times New Roman"/>
          <w:b/>
          <w:bCs/>
          <w:color w:val="auto"/>
          <w:sz w:val="30"/>
          <w:szCs w:val="30"/>
        </w:rPr>
        <w:t>Kerawanan Pangan Rumah Tangga dan Kerentanan Perempuan Nusa Tenggara Timur terhadap Perdagangan Orang dalam Perspektif Kelembagaan Ekonomi Komunitas Berbasis GEDSI</w:t>
      </w:r>
    </w:p>
    <w:p w14:paraId="7F923360">
      <w:pPr>
        <w:spacing w:after="120"/>
        <w:jc w:val="center"/>
        <w:rPr>
          <w:rFonts w:ascii="Times New Roman" w:hAnsi="Times New Roman" w:eastAsia="Times New Roman" w:cs="Times New Roman"/>
          <w:b/>
          <w:bCs/>
          <w:color w:val="auto"/>
          <w:sz w:val="30"/>
          <w:szCs w:val="30"/>
        </w:rPr>
      </w:pPr>
    </w:p>
    <w:p w14:paraId="6CDA3B07">
      <w:pPr>
        <w:spacing w:after="40"/>
        <w:jc w:val="center"/>
        <w:rPr>
          <w:rFonts w:hint="default" w:ascii="Times New Roman Bold" w:hAnsi="Times New Roman Bold" w:eastAsia="Times New Roman" w:cs="Times New Roman Bold"/>
          <w:b/>
          <w:bCs/>
          <w:color w:val="auto"/>
          <w:sz w:val="24"/>
          <w:szCs w:val="24"/>
          <w:vertAlign w:val="superscript"/>
          <w:lang w:val="en-US"/>
        </w:rPr>
      </w:pPr>
      <w:r>
        <w:rPr>
          <w:rFonts w:hint="default" w:ascii="Times New Roman Bold" w:hAnsi="Times New Roman Bold" w:eastAsia="Times New Roman" w:cs="Times New Roman Bold"/>
          <w:b/>
          <w:bCs/>
          <w:color w:val="auto"/>
          <w:sz w:val="24"/>
          <w:szCs w:val="24"/>
          <w:lang w:val="en-US"/>
        </w:rPr>
        <w:t>Rena Saputri Hilaria Sitanggang</w:t>
      </w:r>
      <w:r>
        <w:rPr>
          <w:rFonts w:hint="default" w:ascii="Times New Roman Bold" w:hAnsi="Times New Roman Bold" w:eastAsia="Times New Roman" w:cs="Times New Roman Bold"/>
          <w:b/>
          <w:bCs/>
          <w:color w:val="auto"/>
          <w:sz w:val="24"/>
          <w:szCs w:val="24"/>
          <w:vertAlign w:val="superscript"/>
          <w:lang w:val="en-US"/>
        </w:rPr>
        <w:t>1</w:t>
      </w:r>
      <w:r>
        <w:rPr>
          <w:rFonts w:hint="default" w:ascii="Times New Roman Bold" w:hAnsi="Times New Roman Bold" w:eastAsia="Times New Roman" w:cs="Times New Roman Bold"/>
          <w:b/>
          <w:bCs/>
          <w:color w:val="auto"/>
          <w:sz w:val="24"/>
          <w:szCs w:val="24"/>
          <w:lang w:val="en-US"/>
        </w:rPr>
        <w:t>, Doni Monardo Lopes De Carvalho</w:t>
      </w:r>
      <w:r>
        <w:rPr>
          <w:rFonts w:hint="default" w:ascii="Times New Roman Bold" w:hAnsi="Times New Roman Bold" w:eastAsia="Times New Roman" w:cs="Times New Roman Bold"/>
          <w:b/>
          <w:bCs/>
          <w:color w:val="auto"/>
          <w:sz w:val="24"/>
          <w:szCs w:val="24"/>
          <w:vertAlign w:val="superscript"/>
          <w:lang w:val="en-US"/>
        </w:rPr>
        <w:t>2</w:t>
      </w:r>
    </w:p>
    <w:p w14:paraId="5B52E493">
      <w:pPr>
        <w:spacing w:after="40"/>
        <w:jc w:val="center"/>
        <w:rPr>
          <w:rFonts w:hint="default" w:ascii="Times New Roman Bold" w:hAnsi="Times New Roman Bold" w:eastAsia="Times New Roman" w:cs="Times New Roman Bold"/>
          <w:b/>
          <w:bCs/>
          <w:color w:val="auto"/>
          <w:sz w:val="24"/>
          <w:szCs w:val="24"/>
          <w:vertAlign w:val="superscript"/>
          <w:lang w:val="en-US"/>
        </w:rPr>
      </w:pPr>
    </w:p>
    <w:p w14:paraId="2C8886E6">
      <w:pPr>
        <w:spacing w:after="40"/>
        <w:jc w:val="center"/>
        <w:rPr>
          <w:rFonts w:ascii="Times New Roman" w:hAnsi="Times New Roman" w:eastAsia="Times New Roman" w:cs="Times New Roman"/>
          <w:i/>
          <w:iCs/>
          <w:color w:val="auto"/>
          <w:sz w:val="22"/>
          <w:szCs w:val="22"/>
        </w:rPr>
      </w:pPr>
      <w:r>
        <w:rPr>
          <w:rFonts w:ascii="Times New Roman" w:hAnsi="Times New Roman" w:eastAsia="Times New Roman" w:cs="Times New Roman"/>
          <w:i/>
          <w:iCs/>
          <w:color w:val="auto"/>
          <w:sz w:val="22"/>
          <w:szCs w:val="22"/>
        </w:rPr>
        <w:t xml:space="preserve"> </w:t>
      </w:r>
      <w:r>
        <w:rPr>
          <w:rFonts w:hint="default" w:ascii="Times New Roman" w:hAnsi="Times New Roman" w:eastAsia="Times New Roman" w:cs="Times New Roman"/>
          <w:i/>
          <w:iCs/>
          <w:color w:val="auto"/>
          <w:sz w:val="22"/>
          <w:szCs w:val="22"/>
          <w:vertAlign w:val="superscript"/>
          <w:lang w:val="en-US"/>
        </w:rPr>
        <w:t>1</w:t>
      </w:r>
      <w:r>
        <w:rPr>
          <w:rFonts w:ascii="Times New Roman" w:hAnsi="Times New Roman" w:eastAsia="Times New Roman" w:cs="Times New Roman"/>
          <w:i/>
          <w:iCs/>
          <w:color w:val="auto"/>
          <w:sz w:val="22"/>
          <w:szCs w:val="22"/>
        </w:rPr>
        <w:t>Administrasi Bisnis, Fakultas Ilmu Sosial dan Ilmu Politik, Universitas Nusa Cendana</w:t>
      </w:r>
    </w:p>
    <w:p w14:paraId="1276F1D6">
      <w:pPr>
        <w:spacing w:after="40"/>
        <w:jc w:val="center"/>
        <w:rPr>
          <w:rFonts w:hint="default" w:ascii="Times New Roman" w:hAnsi="Times New Roman" w:eastAsia="Times New Roman" w:cs="Times New Roman"/>
          <w:i/>
          <w:iCs/>
          <w:color w:val="auto"/>
          <w:sz w:val="22"/>
          <w:szCs w:val="22"/>
          <w:lang w:val="en-US"/>
        </w:rPr>
      </w:pPr>
      <w:r>
        <w:rPr>
          <w:rFonts w:hint="default" w:ascii="Times New Roman" w:hAnsi="Times New Roman" w:eastAsia="Times New Roman" w:cs="Times New Roman"/>
          <w:i/>
          <w:iCs/>
          <w:color w:val="auto"/>
          <w:sz w:val="22"/>
          <w:szCs w:val="22"/>
          <w:vertAlign w:val="superscript"/>
          <w:lang w:val="en-US"/>
        </w:rPr>
        <w:t>2</w:t>
      </w:r>
      <w:r>
        <w:rPr>
          <w:rFonts w:hint="default" w:ascii="Times New Roman" w:hAnsi="Times New Roman" w:eastAsia="Times New Roman" w:cs="Times New Roman"/>
          <w:i/>
          <w:iCs/>
          <w:color w:val="auto"/>
          <w:sz w:val="22"/>
          <w:szCs w:val="22"/>
          <w:lang w:val="en-US"/>
        </w:rPr>
        <w:t xml:space="preserve">Administrasi Publik, </w:t>
      </w:r>
      <w:r>
        <w:rPr>
          <w:rFonts w:ascii="Times New Roman" w:hAnsi="Times New Roman" w:eastAsia="Times New Roman" w:cs="Times New Roman"/>
          <w:i/>
          <w:iCs/>
          <w:color w:val="auto"/>
          <w:sz w:val="22"/>
          <w:szCs w:val="22"/>
        </w:rPr>
        <w:t xml:space="preserve">Fakultas Ilmu Sosial dan Ilmu Politik, Universitas </w:t>
      </w:r>
      <w:r>
        <w:rPr>
          <w:rFonts w:hint="default" w:ascii="Times New Roman" w:hAnsi="Times New Roman" w:eastAsia="Times New Roman" w:cs="Times New Roman"/>
          <w:i/>
          <w:iCs/>
          <w:color w:val="auto"/>
          <w:sz w:val="22"/>
          <w:szCs w:val="22"/>
          <w:lang w:val="en-US"/>
        </w:rPr>
        <w:t>Gadjah Mada</w:t>
      </w:r>
    </w:p>
    <w:p w14:paraId="61064275">
      <w:pPr>
        <w:spacing w:after="300"/>
        <w:jc w:val="center"/>
        <w:rPr>
          <w:rFonts w:hint="default"/>
          <w:color w:val="auto"/>
          <w:lang w:val="en-US"/>
        </w:rPr>
      </w:pPr>
      <w:r>
        <w:rPr>
          <w:rFonts w:hint="default" w:ascii="Times New Roman" w:hAnsi="Times New Roman" w:eastAsia="Times New Roman" w:cs="Times New Roman"/>
          <w:i/>
          <w:iCs/>
          <w:color w:val="auto"/>
          <w:sz w:val="22"/>
          <w:szCs w:val="22"/>
          <w:lang w:val="en-US"/>
        </w:rPr>
        <w:t>Email</w:t>
      </w:r>
      <w:r>
        <w:rPr>
          <w:rFonts w:ascii="Times New Roman" w:hAnsi="Times New Roman" w:eastAsia="Times New Roman" w:cs="Times New Roman"/>
          <w:i/>
          <w:iCs/>
          <w:color w:val="auto"/>
          <w:sz w:val="22"/>
          <w:szCs w:val="22"/>
        </w:rPr>
        <w:t xml:space="preserve">: </w:t>
      </w:r>
      <w:r>
        <w:rPr>
          <w:rFonts w:hint="default" w:ascii="Times New Roman" w:hAnsi="Times New Roman" w:eastAsia="Times New Roman" w:cs="Times New Roman"/>
          <w:i/>
          <w:iCs/>
          <w:color w:val="auto"/>
          <w:sz w:val="22"/>
          <w:szCs w:val="22"/>
          <w:lang w:val="en-US"/>
        </w:rPr>
        <w:t>Renasaputri4@gmail.com</w:t>
      </w:r>
      <w:bookmarkStart w:id="0" w:name="_GoBack"/>
      <w:bookmarkEnd w:id="0"/>
    </w:p>
    <w:p w14:paraId="32C7992D">
      <w:pPr>
        <w:pStyle w:val="2"/>
        <w:spacing w:before="320" w:after="160"/>
        <w:jc w:val="center"/>
        <w:rPr>
          <w:color w:val="auto"/>
        </w:rPr>
      </w:pPr>
      <w:r>
        <w:rPr>
          <w:rFonts w:ascii="Times New Roman" w:hAnsi="Times New Roman" w:eastAsia="Times New Roman" w:cs="Times New Roman"/>
          <w:b/>
          <w:bCs/>
          <w:color w:val="auto"/>
          <w:sz w:val="26"/>
          <w:szCs w:val="26"/>
        </w:rPr>
        <w:t>Abstrak</w:t>
      </w:r>
    </w:p>
    <w:p w14:paraId="05F46F8B">
      <w:pPr>
        <w:spacing w:after="160" w:line="480" w:lineRule="auto"/>
        <w:jc w:val="both"/>
        <w:rPr>
          <w:rFonts w:hint="default"/>
          <w:color w:val="auto"/>
          <w:lang w:val="en-US"/>
        </w:rPr>
      </w:pPr>
      <w:r>
        <w:rPr>
          <w:rFonts w:ascii="Times New Roman" w:hAnsi="Times New Roman" w:eastAsia="Times New Roman" w:cs="Times New Roman"/>
          <w:color w:val="auto"/>
          <w:sz w:val="24"/>
          <w:szCs w:val="24"/>
        </w:rPr>
        <w:t xml:space="preserve">Kerawanan pangan rumah tangga di wilayah kepulauan Nusa Tenggara Timur (NTT) berkontribusi terhadap tekanan ekonomi yang mendorong perempuan dari rumah tangga rentan menerima tawaran migrasi kerja berisiko tinggi, sementara NTT secara konsisten tercatat sebagai salah satu provinsi dengan jumlah kasus tindak pidana perdagangan orang (TPPO) tertinggi di Indonesia. Artikel ini bertujuan menganalisis keterkaitan antara pola kerawanan pangan rumah tangga, kesenjangan akses ekonomi berbasis gender, dan kerentanan TPPO di NTT, serta merumuskan kerangka kelembagaan ekonomi komunitas berbasis Gender Equality, Disability, and Social Inclusion (GEDSI) sebagai instrumen pencegahan. </w:t>
      </w:r>
      <w:r>
        <w:rPr>
          <w:rFonts w:hint="default" w:ascii="Times New Roman" w:hAnsi="Times New Roman" w:eastAsia="Times New Roman" w:cs="Times New Roman"/>
          <w:color w:val="auto"/>
          <w:sz w:val="24"/>
          <w:szCs w:val="24"/>
        </w:rPr>
        <w:t>Penelitian ini menggunakan pendekatan kualitatif deskriptif melalui analisis data sekunder (secondary data analysis). Data diperoleh dari Badan Pusat Statistik (BPS), Badan Pangan Nasional (Bapanas), Kepolisian Daerah, serta berbagai literatur akademik terkini. Analisis dilakukan dengan menggunakan analisis tematik yang dipadukan dengan pemetaan spasial lintas kabupaten/kota untuk mengidentifikasi keterkaitan dan tumpang tindih antara wilayah rawan pangan dan wilayah asal tindak pidana perdagangan orang (TPPO)</w:t>
      </w:r>
      <w:r>
        <w:rPr>
          <w:rFonts w:ascii="Times New Roman" w:hAnsi="Times New Roman" w:eastAsia="Times New Roman" w:cs="Times New Roman"/>
          <w:color w:val="auto"/>
          <w:sz w:val="24"/>
          <w:szCs w:val="24"/>
        </w:rPr>
        <w:t xml:space="preserve">. </w:t>
      </w:r>
      <w:r>
        <w:rPr>
          <w:rFonts w:hint="default" w:ascii="Times New Roman" w:hAnsi="Times New Roman" w:eastAsia="Times New Roman" w:cs="Times New Roman"/>
          <w:color w:val="auto"/>
          <w:sz w:val="24"/>
          <w:szCs w:val="24"/>
        </w:rPr>
        <w:t>Hasil kajian menunjukkan adanya keterkaitan antara tingkat kemiskinan, kerawanan pangan, dan kerentanan terhadap tindak pidana perdagangan orang (TPPO) di Provinsi Nusa Tenggara Timur (NTT). Kabupaten dengan persentase penduduk miskin yang tinggi secara konsisten teridentifikasi sebagai wilayah asal korban TPPO berdasarkan data kasus terbaru. Selain itu, rumah tangga yang dikepalai oleh perempuan, terutama di wilayah perdesaan, menunjukkan tingkat kerawanan pangan yang lebih tinggi dibandingkan rumah tangga yang dikepalai oleh laki-laki. Kondisi tersebut diperparah oleh berbagai kesenjangan kelembagaan, antara lain rendahnya keterwakilan perempuan dalam proses pengambilan keputusan ekonomi di tingkat desa serta belum optimalnya penguatan koperasi dan lumbung pangan berbasis perempuan. Keterbatasan tersebut meningkatkan kerentanan rumah tangga terhadap praktik migrasi nonprosedural yang berpotensi berujung pada TPPO. Berdasarkan temuan tersebut, kajian ini menyimpulkan bahwa penguatan kelembagaan ekonomi pangan berbasis komunitas dengan mengintegrasikan perspektif Gender Equality, Disability, and Social Inclusion (GEDSI) perlu menjadi bagian integral dari kebijakan ketahanan pangan dan strategi pencegahan TPPO di tingkat desa, sehingga kedua isu tersebut dapat ditangani secara terpadu dalam kerangka pembangunan yang inklusif dan berkelanjutan</w:t>
      </w:r>
      <w:r>
        <w:rPr>
          <w:rFonts w:hint="default" w:ascii="Times New Roman" w:hAnsi="Times New Roman" w:eastAsia="Times New Roman" w:cs="Times New Roman"/>
          <w:color w:val="auto"/>
          <w:sz w:val="24"/>
          <w:szCs w:val="24"/>
          <w:lang w:val="en-US"/>
        </w:rPr>
        <w:t>.</w:t>
      </w:r>
    </w:p>
    <w:p w14:paraId="5F614B24">
      <w:pPr>
        <w:spacing w:after="300" w:line="480" w:lineRule="auto"/>
        <w:jc w:val="both"/>
        <w:rPr>
          <w:color w:val="auto"/>
        </w:rPr>
      </w:pPr>
      <w:r>
        <w:rPr>
          <w:rFonts w:ascii="Times New Roman" w:hAnsi="Times New Roman" w:eastAsia="Times New Roman" w:cs="Times New Roman"/>
          <w:i/>
          <w:iCs/>
          <w:color w:val="auto"/>
          <w:sz w:val="24"/>
          <w:szCs w:val="24"/>
        </w:rPr>
        <w:t>Kata kunci: ketahanan pangan; GEDSI; kelembagaan ekonomi komunitas; perdagangan orang; Nusa Tenggara Timur</w:t>
      </w:r>
    </w:p>
    <w:sectPr>
      <w:headerReference r:id="rId3" w:type="default"/>
      <w:footerReference r:id="rId4" w:type="default"/>
      <w:pgSz w:w="11907" w:h="16840"/>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Times New Roman Bold">
    <w:panose1 w:val="02020503050405090304"/>
    <w:charset w:val="00"/>
    <w:family w:val="auto"/>
    <w:pitch w:val="default"/>
    <w:sig w:usb0="E0000AFF" w:usb1="00007843" w:usb2="00000001" w:usb3="00000000" w:csb0="400001BF" w:csb1="DFF70000"/>
  </w:font>
  <w:font w:name="Times New Roman Bold Italic">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961E8">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19CC4">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45CBE82D"/>
    <w:rsid w:val="6FB3CAFE"/>
    <w:rsid w:val="7EF7C903"/>
    <w:rsid w:val="93DDD971"/>
    <w:rsid w:val="FEB9F2B7"/>
    <w:rsid w:val="FFA7EC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sz w:val="21"/>
      <w:szCs w:val="22"/>
    </w:rPr>
  </w:style>
  <w:style w:type="paragraph" w:styleId="2">
    <w:name w:val="heading 1"/>
    <w:next w:val="1"/>
    <w:qFormat/>
    <w:uiPriority w:val="0"/>
    <w:rPr>
      <w:rFonts w:ascii="Times New Roman" w:hAnsi="Times New Roman" w:eastAsia="SimSun" w:cs="Times New Roman"/>
      <w:color w:val="2E74B5"/>
      <w:sz w:val="32"/>
      <w:szCs w:val="32"/>
    </w:rPr>
  </w:style>
  <w:style w:type="paragraph" w:styleId="3">
    <w:name w:val="heading 2"/>
    <w:next w:val="1"/>
    <w:qFormat/>
    <w:uiPriority w:val="0"/>
    <w:rPr>
      <w:rFonts w:ascii="Times New Roman" w:hAnsi="Times New Roman" w:eastAsia="SimSun" w:cs="Times New Roman"/>
      <w:color w:val="2E74B5"/>
      <w:sz w:val="26"/>
      <w:szCs w:val="26"/>
    </w:rPr>
  </w:style>
  <w:style w:type="paragraph" w:styleId="4">
    <w:name w:val="heading 3"/>
    <w:next w:val="1"/>
    <w:qFormat/>
    <w:uiPriority w:val="0"/>
    <w:rPr>
      <w:rFonts w:ascii="Times New Roman" w:hAnsi="Times New Roman" w:eastAsia="SimSun" w:cs="Times New Roman"/>
      <w:color w:val="1F4D78"/>
      <w:sz w:val="24"/>
      <w:szCs w:val="24"/>
    </w:rPr>
  </w:style>
  <w:style w:type="paragraph" w:styleId="5">
    <w:name w:val="heading 4"/>
    <w:next w:val="1"/>
    <w:qFormat/>
    <w:uiPriority w:val="0"/>
    <w:rPr>
      <w:rFonts w:ascii="Times New Roman" w:hAnsi="Times New Roman" w:eastAsia="SimSun" w:cs="Times New Roman"/>
      <w:i/>
      <w:iCs/>
      <w:color w:val="2E74B5"/>
      <w:sz w:val="21"/>
      <w:szCs w:val="22"/>
    </w:rPr>
  </w:style>
  <w:style w:type="paragraph" w:styleId="6">
    <w:name w:val="heading 5"/>
    <w:next w:val="1"/>
    <w:qFormat/>
    <w:uiPriority w:val="0"/>
    <w:rPr>
      <w:rFonts w:ascii="Times New Roman" w:hAnsi="Times New Roman" w:eastAsia="SimSun" w:cs="Times New Roman"/>
      <w:color w:val="2E74B5"/>
      <w:sz w:val="21"/>
      <w:szCs w:val="22"/>
    </w:rPr>
  </w:style>
  <w:style w:type="paragraph" w:styleId="7">
    <w:name w:val="heading 6"/>
    <w:next w:val="1"/>
    <w:qFormat/>
    <w:uiPriority w:val="0"/>
    <w:rPr>
      <w:rFonts w:ascii="Times New Roman" w:hAnsi="Times New Roman" w:eastAsia="SimSun" w:cs="Times New Roman"/>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SimSun" w:cs="Times New Roman"/>
      <w:sz w:val="20"/>
      <w:szCs w:val="20"/>
    </w:rPr>
  </w:style>
  <w:style w:type="character" w:styleId="12">
    <w:name w:val="footnote reference"/>
    <w:semiHidden/>
    <w:unhideWhenUsed/>
    <w:uiPriority w:val="99"/>
    <w:rPr>
      <w:vertAlign w:val="superscript"/>
    </w:rPr>
  </w:style>
  <w:style w:type="paragraph" w:styleId="13">
    <w:name w:val="footnote text"/>
    <w:link w:val="17"/>
    <w:semiHidden/>
    <w:unhideWhenUsed/>
    <w:uiPriority w:val="99"/>
    <w:pPr>
      <w:spacing w:after="0" w:line="240" w:lineRule="auto"/>
    </w:pPr>
    <w:rPr>
      <w:rFonts w:ascii="Times New Roman" w:hAnsi="Times New Roman" w:eastAsia="SimSu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SimSun" w:cs="Times New Roman"/>
      <w:sz w:val="56"/>
      <w:szCs w:val="56"/>
    </w:rPr>
  </w:style>
  <w:style w:type="paragraph" w:styleId="16">
    <w:name w:val="List Paragraph"/>
    <w:qFormat/>
    <w:uiPriority w:val="0"/>
    <w:rPr>
      <w:rFonts w:ascii="Times New Roman" w:hAnsi="Times New Roman" w:eastAsia="SimSun" w:cs="Times New Roman"/>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20</TotalTime>
  <ScaleCrop>false</ScaleCrop>
  <LinksUpToDate>false</LinksUpToDate>
  <Application>WPS Office_12.1.26035.26035_F1E327BC-269C-435d-A152-05C5408002CA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2026-07-15T21:10:00Z</dcterms:created>
  <dc:creator>Un-named</dc:creator>
  <cp:lastModifiedBy>RENA SAPUTRI HILARIA SITANGGANG</cp:lastModifiedBy>
  <dcterms:modified xsi:type="dcterms:W3CDTF">2026-07-15T13:12:11Z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A3EC980B71EB00EAE411576A2A932C49_43</vt:lpwstr>
  </property>
</Properties>
</file>